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F64D3" w14:textId="77777777" w:rsidR="00027A19" w:rsidRDefault="00027A19" w:rsidP="00247B63">
      <w:pPr>
        <w:spacing w:after="0" w:line="240" w:lineRule="auto"/>
        <w:jc w:val="both"/>
        <w:rPr>
          <w:rFonts w:ascii="Arial" w:hAnsi="Arial" w:cs="Arial"/>
        </w:rPr>
      </w:pPr>
      <w:r>
        <w:rPr>
          <w:rFonts w:ascii="Arial" w:hAnsi="Arial" w:cs="Arial"/>
        </w:rPr>
        <w:t xml:space="preserve">Reciban un especial saludo, </w:t>
      </w:r>
    </w:p>
    <w:p w14:paraId="6BC9D07A" w14:textId="77777777" w:rsidR="00027A19" w:rsidRDefault="00027A19" w:rsidP="00247B63">
      <w:pPr>
        <w:spacing w:after="0" w:line="240" w:lineRule="auto"/>
        <w:jc w:val="both"/>
        <w:rPr>
          <w:rFonts w:ascii="Arial" w:hAnsi="Arial" w:cs="Arial"/>
        </w:rPr>
      </w:pPr>
    </w:p>
    <w:p w14:paraId="5DC59BB1" w14:textId="77777777" w:rsidR="00027A19" w:rsidRDefault="00027A19" w:rsidP="00247B63">
      <w:pPr>
        <w:spacing w:after="0" w:line="240" w:lineRule="auto"/>
        <w:jc w:val="both"/>
        <w:rPr>
          <w:rFonts w:ascii="Arial" w:hAnsi="Arial" w:cs="Arial"/>
        </w:rPr>
      </w:pPr>
      <w:r>
        <w:rPr>
          <w:rFonts w:ascii="Arial" w:hAnsi="Arial" w:cs="Arial"/>
        </w:rPr>
        <w:t>A continuación, amablemente me permito presentar los argumentos solicitados:</w:t>
      </w:r>
    </w:p>
    <w:p w14:paraId="7AED95F6" w14:textId="77777777" w:rsidR="00027A19" w:rsidRDefault="00027A19" w:rsidP="00247B63">
      <w:pPr>
        <w:spacing w:after="0" w:line="240" w:lineRule="auto"/>
        <w:jc w:val="both"/>
        <w:rPr>
          <w:rFonts w:ascii="Arial" w:hAnsi="Arial" w:cs="Arial"/>
        </w:rPr>
      </w:pPr>
    </w:p>
    <w:p w14:paraId="6C2CB024" w14:textId="00F2BA9C" w:rsidR="00247B63" w:rsidRPr="00247B63" w:rsidRDefault="00247B63" w:rsidP="00247B63">
      <w:pPr>
        <w:spacing w:after="0" w:line="240" w:lineRule="auto"/>
        <w:jc w:val="both"/>
        <w:rPr>
          <w:rFonts w:ascii="Arial" w:hAnsi="Arial" w:cs="Arial"/>
        </w:rPr>
      </w:pPr>
      <w:r>
        <w:rPr>
          <w:rFonts w:ascii="Arial" w:hAnsi="Arial" w:cs="Arial"/>
        </w:rPr>
        <w:t xml:space="preserve">Mediante </w:t>
      </w:r>
      <w:r w:rsidRPr="00247B63">
        <w:rPr>
          <w:rFonts w:ascii="Arial" w:hAnsi="Arial" w:cs="Arial"/>
        </w:rPr>
        <w:t xml:space="preserve">Resolución 898 de 1995 </w:t>
      </w:r>
      <w:r>
        <w:rPr>
          <w:rFonts w:ascii="Arial" w:hAnsi="Arial" w:cs="Arial"/>
        </w:rPr>
        <w:t xml:space="preserve">el </w:t>
      </w:r>
      <w:r w:rsidRPr="00247B63">
        <w:rPr>
          <w:rFonts w:ascii="Arial" w:hAnsi="Arial" w:cs="Arial"/>
        </w:rPr>
        <w:t>Ministerio del Medio Ambiente</w:t>
      </w:r>
      <w:r>
        <w:rPr>
          <w:rFonts w:ascii="Arial" w:hAnsi="Arial" w:cs="Arial"/>
        </w:rPr>
        <w:t xml:space="preserve"> </w:t>
      </w:r>
      <w:r w:rsidRPr="00247B63">
        <w:rPr>
          <w:rFonts w:ascii="Arial" w:hAnsi="Arial" w:cs="Arial"/>
        </w:rPr>
        <w:t>regula los criterios ambientales de calidad de los combustibles líquidos y sólidos utilizados en hornos y caldera de uso comercial e industrial y en motores de combustión interna de vehículos automotores.</w:t>
      </w:r>
    </w:p>
    <w:p w14:paraId="5E1DCBEE" w14:textId="77777777" w:rsidR="006E3DD9" w:rsidRDefault="006E3DD9" w:rsidP="006E3DD9">
      <w:pPr>
        <w:spacing w:after="0" w:line="240" w:lineRule="auto"/>
        <w:jc w:val="both"/>
        <w:rPr>
          <w:rFonts w:ascii="Arial" w:hAnsi="Arial" w:cs="Arial"/>
        </w:rPr>
      </w:pPr>
    </w:p>
    <w:p w14:paraId="54EB7990" w14:textId="3A70A9A6" w:rsidR="00247B63" w:rsidRDefault="00247B63" w:rsidP="00247B63">
      <w:pPr>
        <w:spacing w:after="0" w:line="240" w:lineRule="auto"/>
        <w:jc w:val="both"/>
        <w:rPr>
          <w:rFonts w:ascii="Arial" w:hAnsi="Arial" w:cs="Arial"/>
        </w:rPr>
      </w:pPr>
      <w:r>
        <w:rPr>
          <w:rFonts w:ascii="Arial" w:hAnsi="Arial" w:cs="Arial"/>
        </w:rPr>
        <w:t xml:space="preserve">Posteriormente, la </w:t>
      </w:r>
      <w:r w:rsidRPr="00247B63">
        <w:rPr>
          <w:rFonts w:ascii="Arial" w:hAnsi="Arial" w:cs="Arial"/>
        </w:rPr>
        <w:t>Resolución 447 de 2003</w:t>
      </w:r>
      <w:r>
        <w:rPr>
          <w:rFonts w:ascii="Arial" w:hAnsi="Arial" w:cs="Arial"/>
        </w:rPr>
        <w:t>,</w:t>
      </w:r>
      <w:r w:rsidRPr="00247B63">
        <w:rPr>
          <w:rFonts w:ascii="Arial" w:hAnsi="Arial" w:cs="Arial"/>
        </w:rPr>
        <w:t xml:space="preserve"> </w:t>
      </w:r>
      <w:r>
        <w:rPr>
          <w:rFonts w:ascii="Arial" w:hAnsi="Arial" w:cs="Arial"/>
        </w:rPr>
        <w:t xml:space="preserve">expedida por el </w:t>
      </w:r>
      <w:r w:rsidRPr="00247B63">
        <w:rPr>
          <w:rFonts w:ascii="Arial" w:hAnsi="Arial" w:cs="Arial"/>
        </w:rPr>
        <w:t>Ministerio de Ambiente, Vivienda y Desarrollo Territorial</w:t>
      </w:r>
      <w:r>
        <w:rPr>
          <w:rFonts w:ascii="Arial" w:hAnsi="Arial" w:cs="Arial"/>
        </w:rPr>
        <w:t xml:space="preserve">, </w:t>
      </w:r>
      <w:r w:rsidRPr="00247B63">
        <w:rPr>
          <w:rFonts w:ascii="Arial" w:hAnsi="Arial" w:cs="Arial"/>
        </w:rPr>
        <w:t>modifica parcialmente la Resolución 898 del 23 de agosto de 1995,</w:t>
      </w:r>
      <w:r>
        <w:rPr>
          <w:rFonts w:ascii="Arial" w:hAnsi="Arial" w:cs="Arial"/>
        </w:rPr>
        <w:t xml:space="preserve"> en especial, el artículo 2 de la resolución de origen:</w:t>
      </w:r>
    </w:p>
    <w:p w14:paraId="3740A441" w14:textId="77777777" w:rsidR="00247B63" w:rsidRDefault="00247B63" w:rsidP="00247B63">
      <w:pPr>
        <w:spacing w:after="0" w:line="240" w:lineRule="auto"/>
        <w:jc w:val="both"/>
        <w:rPr>
          <w:rFonts w:ascii="Arial" w:hAnsi="Arial" w:cs="Arial"/>
        </w:rPr>
      </w:pPr>
    </w:p>
    <w:p w14:paraId="0F2710C2" w14:textId="581313FD" w:rsidR="00247B63" w:rsidRPr="00247B63" w:rsidRDefault="00247B63" w:rsidP="00247B63">
      <w:pPr>
        <w:spacing w:after="0" w:line="240" w:lineRule="auto"/>
        <w:ind w:left="708"/>
        <w:jc w:val="both"/>
        <w:rPr>
          <w:rFonts w:ascii="Arial" w:hAnsi="Arial" w:cs="Arial"/>
          <w:i/>
          <w:iCs/>
        </w:rPr>
      </w:pPr>
      <w:r w:rsidRPr="00247B63">
        <w:rPr>
          <w:rFonts w:ascii="Arial" w:hAnsi="Arial" w:cs="Arial"/>
          <w:i/>
          <w:iCs/>
        </w:rPr>
        <w:t xml:space="preserve">Artículo 2°. </w:t>
      </w:r>
      <w:r w:rsidRPr="00247B63">
        <w:rPr>
          <w:rFonts w:ascii="Arial" w:hAnsi="Arial" w:cs="Arial"/>
          <w:i/>
          <w:iCs/>
        </w:rPr>
        <w:t>Modificase</w:t>
      </w:r>
      <w:r w:rsidRPr="00247B63">
        <w:rPr>
          <w:rFonts w:ascii="Arial" w:hAnsi="Arial" w:cs="Arial"/>
          <w:i/>
          <w:iCs/>
        </w:rPr>
        <w:t xml:space="preserve"> el artículo 2° de la Resolución 898 de agosto 23 de 1995, adicionada por la Resolución 125 de febrero 7 de 1996, modificada por la Resolución 623 de julio 9 de 1998 y la Resolución 0068 de enero 18 de 2001, el cual quedará de la siguiente manera:</w:t>
      </w:r>
    </w:p>
    <w:p w14:paraId="68BAA22A" w14:textId="77777777" w:rsidR="00247B63" w:rsidRPr="00247B63" w:rsidRDefault="00247B63" w:rsidP="00247B63">
      <w:pPr>
        <w:spacing w:after="0" w:line="240" w:lineRule="auto"/>
        <w:ind w:left="708"/>
        <w:jc w:val="both"/>
        <w:rPr>
          <w:rFonts w:ascii="Arial" w:hAnsi="Arial" w:cs="Arial"/>
          <w:i/>
          <w:iCs/>
        </w:rPr>
      </w:pPr>
    </w:p>
    <w:p w14:paraId="5AEC0E3B" w14:textId="2973F93B" w:rsidR="00247B63" w:rsidRPr="00247B63" w:rsidRDefault="00247B63" w:rsidP="00247B63">
      <w:pPr>
        <w:spacing w:after="0" w:line="240" w:lineRule="auto"/>
        <w:ind w:left="708"/>
        <w:jc w:val="both"/>
        <w:rPr>
          <w:rFonts w:ascii="Arial" w:hAnsi="Arial" w:cs="Arial"/>
          <w:i/>
          <w:iCs/>
        </w:rPr>
      </w:pPr>
      <w:r w:rsidRPr="00247B63">
        <w:rPr>
          <w:rFonts w:ascii="Arial" w:hAnsi="Arial" w:cs="Arial"/>
          <w:i/>
          <w:iCs/>
        </w:rPr>
        <w:t xml:space="preserve">Artículo 2°. Uso de aditivos en las gasolinas colombianas. A partir de la vigencia de la presente resolución, todas las ¿gasolinas básicas¿ y las ¿gasolinas oxigenadas¿ que se distribuyan para consumo dentro del territorio colombiano deberán contener aditivos detergentes, dispersantes, controladores de formación de depósitos en el sistema de admisión de combustible, cuya acción de limpieza incluya como mínimo desde las partes internas de los carburadores o inyectores, hasta los asientos de las válvulas de admisión. Igualmente, el paquete de aditivos deberá incluir estabilizadores del combustible e inhibidores de oxidación. Estos aditivos y su dosificación en las </w:t>
      </w:r>
      <w:r w:rsidRPr="00247B63">
        <w:rPr>
          <w:rFonts w:ascii="Arial" w:hAnsi="Arial" w:cs="Arial"/>
          <w:i/>
          <w:iCs/>
        </w:rPr>
        <w:t>gasolinas</w:t>
      </w:r>
      <w:r w:rsidRPr="00247B63">
        <w:rPr>
          <w:rFonts w:ascii="Arial" w:hAnsi="Arial" w:cs="Arial"/>
          <w:i/>
          <w:iCs/>
        </w:rPr>
        <w:t xml:space="preserve"> deberán cumplir todos y cada uno de los requisitos contenidos en la reglamentación respectiva que establezcan los Ministerios de Minas y Energía y de Medio Ambiente.</w:t>
      </w:r>
    </w:p>
    <w:p w14:paraId="2CEAD9A2" w14:textId="77777777" w:rsidR="00247B63" w:rsidRPr="00247B63" w:rsidRDefault="00247B63" w:rsidP="00247B63">
      <w:pPr>
        <w:spacing w:after="0" w:line="240" w:lineRule="auto"/>
        <w:ind w:left="708"/>
        <w:jc w:val="both"/>
        <w:rPr>
          <w:rFonts w:ascii="Arial" w:hAnsi="Arial" w:cs="Arial"/>
          <w:i/>
          <w:iCs/>
        </w:rPr>
      </w:pPr>
    </w:p>
    <w:p w14:paraId="4044B8D6" w14:textId="3390977E" w:rsidR="00247B63" w:rsidRPr="00247B63" w:rsidRDefault="00247B63" w:rsidP="00247B63">
      <w:pPr>
        <w:spacing w:after="0" w:line="240" w:lineRule="auto"/>
        <w:ind w:left="708"/>
        <w:jc w:val="both"/>
        <w:rPr>
          <w:rFonts w:ascii="Arial" w:hAnsi="Arial" w:cs="Arial"/>
          <w:i/>
          <w:iCs/>
        </w:rPr>
      </w:pPr>
      <w:r w:rsidRPr="00247B63">
        <w:rPr>
          <w:rFonts w:ascii="Arial" w:hAnsi="Arial" w:cs="Arial"/>
          <w:i/>
          <w:iCs/>
        </w:rPr>
        <w:t xml:space="preserve">Parágrafo. Se </w:t>
      </w:r>
      <w:r w:rsidRPr="00247B63">
        <w:rPr>
          <w:rFonts w:ascii="Arial" w:hAnsi="Arial" w:cs="Arial"/>
          <w:i/>
          <w:iCs/>
        </w:rPr>
        <w:t>prohíbe</w:t>
      </w:r>
      <w:r w:rsidRPr="00247B63">
        <w:rPr>
          <w:rFonts w:ascii="Arial" w:hAnsi="Arial" w:cs="Arial"/>
          <w:i/>
          <w:iCs/>
        </w:rPr>
        <w:t xml:space="preserve"> el uso de aditivos que contengan metales pesados y que además utilicen como diluyentes hidrocarburos </w:t>
      </w:r>
      <w:r w:rsidRPr="00247B63">
        <w:rPr>
          <w:rFonts w:ascii="Arial" w:hAnsi="Arial" w:cs="Arial"/>
          <w:i/>
          <w:iCs/>
        </w:rPr>
        <w:t>poli aromáticos</w:t>
      </w:r>
      <w:r w:rsidRPr="00247B63">
        <w:rPr>
          <w:rFonts w:ascii="Arial" w:hAnsi="Arial" w:cs="Arial"/>
          <w:i/>
          <w:iCs/>
        </w:rPr>
        <w:t>, en las gasolinas básicas y en las gasolinas oxigenadas que se distribuyan para consumo dentro del territorio colombiano</w:t>
      </w:r>
    </w:p>
    <w:p w14:paraId="512C91A5" w14:textId="77777777" w:rsidR="00247B63" w:rsidRDefault="00247B63" w:rsidP="00247B63">
      <w:pPr>
        <w:spacing w:after="0" w:line="240" w:lineRule="auto"/>
        <w:jc w:val="both"/>
        <w:rPr>
          <w:rFonts w:ascii="Arial" w:hAnsi="Arial" w:cs="Arial"/>
        </w:rPr>
      </w:pPr>
    </w:p>
    <w:p w14:paraId="5E7FE0E3" w14:textId="262CFBC4" w:rsidR="00247B63" w:rsidRDefault="00247B63" w:rsidP="00247B63">
      <w:pPr>
        <w:spacing w:after="0" w:line="240" w:lineRule="auto"/>
        <w:jc w:val="both"/>
        <w:rPr>
          <w:rFonts w:ascii="Arial" w:hAnsi="Arial" w:cs="Arial"/>
        </w:rPr>
      </w:pPr>
      <w:r>
        <w:rPr>
          <w:rFonts w:ascii="Arial" w:hAnsi="Arial" w:cs="Arial"/>
        </w:rPr>
        <w:t>Lo anterior significa que la resolución 898 de 1995 fue modificada mediante resolución 447 de 2003 y por tanto no perdió vigencia con la citada modificación.</w:t>
      </w:r>
    </w:p>
    <w:p w14:paraId="30B7C877" w14:textId="77777777" w:rsidR="00247B63" w:rsidRDefault="00247B63" w:rsidP="00247B63">
      <w:pPr>
        <w:spacing w:after="0" w:line="240" w:lineRule="auto"/>
        <w:jc w:val="both"/>
        <w:rPr>
          <w:rFonts w:ascii="Arial" w:hAnsi="Arial" w:cs="Arial"/>
        </w:rPr>
      </w:pPr>
    </w:p>
    <w:p w14:paraId="26128E07" w14:textId="7CA77936" w:rsidR="00247B63" w:rsidRDefault="006E72BB" w:rsidP="00247B63">
      <w:pPr>
        <w:spacing w:after="0" w:line="240" w:lineRule="auto"/>
        <w:jc w:val="both"/>
        <w:rPr>
          <w:rFonts w:ascii="Arial" w:hAnsi="Arial" w:cs="Arial"/>
        </w:rPr>
      </w:pPr>
      <w:r>
        <w:rPr>
          <w:rFonts w:ascii="Arial" w:hAnsi="Arial" w:cs="Arial"/>
        </w:rPr>
        <w:t>La Resolución 40103 de 2021 e</w:t>
      </w:r>
      <w:r w:rsidRPr="006E72BB">
        <w:rPr>
          <w:rFonts w:ascii="Arial" w:hAnsi="Arial" w:cs="Arial"/>
        </w:rPr>
        <w:t>stablecen los parámetros y requisitos de calidad del combustible diésel (ACPM), los biocombustibles para uso en motores de encendido por compresión como componentes de mezcla en procesos de combustión y de sus mezclas y, de las gasolinas básicas y gasolinas oxigenadas con etanol anhidro, combustible para uso en motores de encendido por chispa, y se adoptan otras disposiciones</w:t>
      </w:r>
      <w:r>
        <w:rPr>
          <w:rFonts w:ascii="Arial" w:hAnsi="Arial" w:cs="Arial"/>
        </w:rPr>
        <w:t>, y, en su artículo 7 señala:</w:t>
      </w:r>
    </w:p>
    <w:p w14:paraId="5FB65327" w14:textId="77777777" w:rsidR="006E72BB" w:rsidRDefault="006E72BB" w:rsidP="00247B63">
      <w:pPr>
        <w:spacing w:after="0" w:line="240" w:lineRule="auto"/>
        <w:jc w:val="both"/>
        <w:rPr>
          <w:rFonts w:ascii="Arial" w:hAnsi="Arial" w:cs="Arial"/>
        </w:rPr>
      </w:pPr>
    </w:p>
    <w:p w14:paraId="687DB332" w14:textId="720B0A54" w:rsidR="006E72BB" w:rsidRPr="006E72BB" w:rsidRDefault="006E72BB" w:rsidP="006E72BB">
      <w:pPr>
        <w:spacing w:after="0" w:line="240" w:lineRule="auto"/>
        <w:ind w:firstLine="708"/>
        <w:jc w:val="both"/>
        <w:rPr>
          <w:rFonts w:ascii="Arial" w:hAnsi="Arial" w:cs="Arial"/>
          <w:i/>
          <w:iCs/>
        </w:rPr>
      </w:pPr>
      <w:r w:rsidRPr="006E72BB">
        <w:rPr>
          <w:rFonts w:ascii="Arial" w:hAnsi="Arial" w:cs="Arial"/>
          <w:i/>
          <w:iCs/>
        </w:rPr>
        <w:t>“</w:t>
      </w:r>
      <w:r w:rsidRPr="006E72BB">
        <w:rPr>
          <w:rFonts w:ascii="Arial" w:hAnsi="Arial" w:cs="Arial"/>
          <w:i/>
          <w:iCs/>
        </w:rPr>
        <w:t xml:space="preserve">Deróguense los artículos 1°, 2° y 4° de la Resolución 898 de </w:t>
      </w:r>
      <w:proofErr w:type="gramStart"/>
      <w:r w:rsidRPr="006E72BB">
        <w:rPr>
          <w:rFonts w:ascii="Arial" w:hAnsi="Arial" w:cs="Arial"/>
          <w:i/>
          <w:iCs/>
        </w:rPr>
        <w:t>1995,</w:t>
      </w:r>
      <w:r w:rsidRPr="006E72BB">
        <w:rPr>
          <w:rFonts w:ascii="Arial" w:hAnsi="Arial" w:cs="Arial"/>
          <w:i/>
          <w:iCs/>
        </w:rPr>
        <w:t>…</w:t>
      </w:r>
      <w:proofErr w:type="gramEnd"/>
      <w:r w:rsidRPr="006E72BB">
        <w:rPr>
          <w:rFonts w:ascii="Arial" w:hAnsi="Arial" w:cs="Arial"/>
          <w:i/>
          <w:iCs/>
        </w:rPr>
        <w:t>”</w:t>
      </w:r>
    </w:p>
    <w:p w14:paraId="0C21E83E" w14:textId="77777777" w:rsidR="00247B63" w:rsidRDefault="00247B63" w:rsidP="00247B63">
      <w:pPr>
        <w:spacing w:after="0" w:line="240" w:lineRule="auto"/>
        <w:jc w:val="both"/>
        <w:rPr>
          <w:rFonts w:ascii="Arial" w:hAnsi="Arial" w:cs="Arial"/>
        </w:rPr>
      </w:pPr>
    </w:p>
    <w:p w14:paraId="629A4C7E" w14:textId="3D25BF7D" w:rsidR="006E72BB" w:rsidRDefault="006E72BB" w:rsidP="00247B63">
      <w:pPr>
        <w:spacing w:after="0" w:line="240" w:lineRule="auto"/>
        <w:jc w:val="both"/>
        <w:rPr>
          <w:rFonts w:ascii="Arial" w:hAnsi="Arial" w:cs="Arial"/>
        </w:rPr>
      </w:pPr>
      <w:r>
        <w:rPr>
          <w:rFonts w:ascii="Arial" w:hAnsi="Arial" w:cs="Arial"/>
        </w:rPr>
        <w:lastRenderedPageBreak/>
        <w:t xml:space="preserve">Es decir, deroga la resolución 898 de 1995 </w:t>
      </w:r>
      <w:proofErr w:type="gramStart"/>
      <w:r>
        <w:rPr>
          <w:rFonts w:ascii="Arial" w:hAnsi="Arial" w:cs="Arial"/>
        </w:rPr>
        <w:t>y</w:t>
      </w:r>
      <w:proofErr w:type="gramEnd"/>
      <w:r>
        <w:rPr>
          <w:rFonts w:ascii="Arial" w:hAnsi="Arial" w:cs="Arial"/>
        </w:rPr>
        <w:t xml:space="preserve"> por ende, la resolución 447 de 2003 modificatoria del artículo 2, entre otros.</w:t>
      </w:r>
    </w:p>
    <w:p w14:paraId="08397694" w14:textId="77777777" w:rsidR="006E72BB" w:rsidRDefault="006E72BB" w:rsidP="00247B63">
      <w:pPr>
        <w:spacing w:after="0" w:line="240" w:lineRule="auto"/>
        <w:jc w:val="both"/>
        <w:rPr>
          <w:rFonts w:ascii="Arial" w:hAnsi="Arial" w:cs="Arial"/>
        </w:rPr>
      </w:pPr>
    </w:p>
    <w:p w14:paraId="11ADE4D1" w14:textId="0E0E8128" w:rsidR="006E72BB" w:rsidRDefault="006E72BB" w:rsidP="00247B63">
      <w:pPr>
        <w:spacing w:after="0" w:line="240" w:lineRule="auto"/>
        <w:jc w:val="both"/>
        <w:rPr>
          <w:rFonts w:ascii="Arial" w:hAnsi="Arial" w:cs="Arial"/>
        </w:rPr>
      </w:pPr>
      <w:r>
        <w:rPr>
          <w:rFonts w:ascii="Arial" w:hAnsi="Arial" w:cs="Arial"/>
        </w:rPr>
        <w:t>La Resolución 40444 de 2023, deroga en su totalidad la resolución 40103 de 2021. Sin embargo, no estableció de manera clara y directa la competencia prevista en la resolución 447 de 2003, modificatoria de la resolución 898 de 1995 ya derogada.</w:t>
      </w:r>
    </w:p>
    <w:p w14:paraId="35B8C7D4" w14:textId="77777777" w:rsidR="006E72BB" w:rsidRDefault="006E72BB" w:rsidP="00247B63">
      <w:pPr>
        <w:spacing w:after="0" w:line="240" w:lineRule="auto"/>
        <w:jc w:val="both"/>
        <w:rPr>
          <w:rFonts w:ascii="Arial" w:hAnsi="Arial" w:cs="Arial"/>
        </w:rPr>
      </w:pPr>
    </w:p>
    <w:p w14:paraId="2C0FC5A5" w14:textId="37F3611A" w:rsidR="006E72BB" w:rsidRDefault="006E72BB" w:rsidP="00247B63">
      <w:pPr>
        <w:spacing w:after="0" w:line="240" w:lineRule="auto"/>
        <w:jc w:val="both"/>
        <w:rPr>
          <w:rFonts w:ascii="Arial" w:hAnsi="Arial" w:cs="Arial"/>
        </w:rPr>
      </w:pPr>
      <w:r>
        <w:rPr>
          <w:rFonts w:ascii="Arial" w:hAnsi="Arial" w:cs="Arial"/>
        </w:rPr>
        <w:t>Por tanto, la competencia para la expedición del acto administrativo se toma de las siguientes normas:</w:t>
      </w:r>
    </w:p>
    <w:p w14:paraId="5F591E40" w14:textId="77777777" w:rsidR="00247B63" w:rsidRDefault="00247B63" w:rsidP="00247B63">
      <w:pPr>
        <w:spacing w:after="0" w:line="240" w:lineRule="auto"/>
        <w:jc w:val="both"/>
        <w:rPr>
          <w:rFonts w:ascii="Arial" w:hAnsi="Arial" w:cs="Arial"/>
        </w:rPr>
      </w:pPr>
    </w:p>
    <w:p w14:paraId="5C32890B" w14:textId="77621FAA" w:rsidR="006E3DD9" w:rsidRPr="00BD1653" w:rsidRDefault="006E72BB" w:rsidP="006E3DD9">
      <w:pPr>
        <w:spacing w:after="0" w:line="240" w:lineRule="auto"/>
        <w:jc w:val="both"/>
        <w:rPr>
          <w:rStyle w:val="normaltextrun"/>
          <w:rFonts w:ascii="Arial" w:hAnsi="Arial" w:cs="Arial"/>
        </w:rPr>
      </w:pPr>
      <w:r>
        <w:rPr>
          <w:rFonts w:ascii="Arial" w:hAnsi="Arial" w:cs="Arial"/>
        </w:rPr>
        <w:t>E</w:t>
      </w:r>
      <w:r w:rsidR="006E3DD9" w:rsidRPr="001A38E5">
        <w:rPr>
          <w:rFonts w:ascii="Arial" w:hAnsi="Arial" w:cs="Arial"/>
        </w:rPr>
        <w:t>l numeral 2 del artículo 2</w:t>
      </w:r>
      <w:r w:rsidR="006E3DD9">
        <w:rPr>
          <w:rFonts w:ascii="Arial" w:hAnsi="Arial" w:cs="Arial"/>
        </w:rPr>
        <w:t>°</w:t>
      </w:r>
      <w:r w:rsidR="006E3DD9" w:rsidRPr="001A38E5">
        <w:rPr>
          <w:rFonts w:ascii="Arial" w:hAnsi="Arial" w:cs="Arial"/>
        </w:rPr>
        <w:t xml:space="preserve"> del Decreto 381 de 2012</w:t>
      </w:r>
      <w:r w:rsidR="006E3DD9">
        <w:rPr>
          <w:rFonts w:ascii="Arial" w:hAnsi="Arial" w:cs="Arial"/>
        </w:rPr>
        <w:t>,</w:t>
      </w:r>
      <w:r w:rsidR="006E3DD9" w:rsidRPr="001A38E5">
        <w:rPr>
          <w:rFonts w:ascii="Arial" w:hAnsi="Arial" w:cs="Arial"/>
        </w:rPr>
        <w:t xml:space="preserve"> </w:t>
      </w:r>
      <w:r>
        <w:rPr>
          <w:rFonts w:ascii="Arial" w:hAnsi="Arial" w:cs="Arial"/>
        </w:rPr>
        <w:t xml:space="preserve">que </w:t>
      </w:r>
      <w:r w:rsidR="006E3DD9" w:rsidRPr="001A38E5">
        <w:rPr>
          <w:rFonts w:ascii="Arial" w:hAnsi="Arial" w:cs="Arial"/>
        </w:rPr>
        <w:t xml:space="preserve">le asigna al Ministerio de Minas y Energía, la función de formular, adoptar, dirigir y coordinar la política nacional, entre otras, en materia de transporte, refinación, procesamiento, beneficio, transformación y distribución de minerales, hidrocarburos y biocombustibles, </w:t>
      </w:r>
      <w:r w:rsidR="006E3DD9" w:rsidRPr="00BD1653">
        <w:rPr>
          <w:rStyle w:val="normaltextrun"/>
          <w:rFonts w:ascii="Arial" w:hAnsi="Arial" w:cs="Arial"/>
        </w:rPr>
        <w:t>modificado por el Decreto 1617 de 2013.</w:t>
      </w:r>
    </w:p>
    <w:p w14:paraId="19C053AC" w14:textId="77777777" w:rsidR="006E3DD9" w:rsidRPr="00BD1653" w:rsidRDefault="006E3DD9" w:rsidP="006E3DD9">
      <w:pPr>
        <w:spacing w:after="0" w:line="240" w:lineRule="auto"/>
        <w:jc w:val="both"/>
        <w:rPr>
          <w:rStyle w:val="normaltextrun"/>
          <w:rFonts w:ascii="Arial" w:hAnsi="Arial" w:cs="Arial"/>
        </w:rPr>
      </w:pPr>
    </w:p>
    <w:p w14:paraId="02D65043" w14:textId="0B9043D8" w:rsidR="00E2412E" w:rsidRDefault="006E72BB" w:rsidP="00E2412E">
      <w:pPr>
        <w:spacing w:after="0"/>
        <w:ind w:right="49"/>
        <w:jc w:val="both"/>
        <w:rPr>
          <w:rFonts w:ascii="Arial" w:hAnsi="Arial" w:cs="Arial"/>
          <w:bdr w:val="none" w:sz="0" w:space="0" w:color="auto" w:frame="1"/>
        </w:rPr>
      </w:pPr>
      <w:r>
        <w:rPr>
          <w:rFonts w:ascii="Arial" w:hAnsi="Arial" w:cs="Arial"/>
          <w:bdr w:val="none" w:sz="0" w:space="0" w:color="auto" w:frame="1"/>
        </w:rPr>
        <w:t>L</w:t>
      </w:r>
      <w:r w:rsidR="006E3DD9" w:rsidRPr="00BD1653">
        <w:rPr>
          <w:rFonts w:ascii="Arial" w:hAnsi="Arial" w:cs="Arial"/>
          <w:bdr w:val="none" w:sz="0" w:space="0" w:color="auto" w:frame="1"/>
        </w:rPr>
        <w:t>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3D19E5DD" w14:textId="77777777" w:rsidR="00E2412E" w:rsidRDefault="00E2412E" w:rsidP="00E2412E">
      <w:pPr>
        <w:spacing w:after="0"/>
        <w:ind w:right="49"/>
        <w:jc w:val="both"/>
        <w:rPr>
          <w:rFonts w:ascii="Arial" w:hAnsi="Arial" w:cs="Arial"/>
          <w:bdr w:val="none" w:sz="0" w:space="0" w:color="auto" w:frame="1"/>
        </w:rPr>
      </w:pPr>
    </w:p>
    <w:p w14:paraId="3F314B5A" w14:textId="60B133CB" w:rsidR="00E2412E" w:rsidRDefault="00E2412E" w:rsidP="00E2412E">
      <w:pPr>
        <w:spacing w:after="0"/>
        <w:ind w:right="49"/>
        <w:jc w:val="both"/>
        <w:rPr>
          <w:rFonts w:ascii="Arial" w:hAnsi="Arial" w:cs="Arial"/>
          <w:bdr w:val="none" w:sz="0" w:space="0" w:color="auto" w:frame="1"/>
        </w:rPr>
      </w:pPr>
      <w:r>
        <w:rPr>
          <w:rFonts w:ascii="Arial" w:hAnsi="Arial" w:cs="Arial"/>
          <w:bdr w:val="none" w:sz="0" w:space="0" w:color="auto" w:frame="1"/>
        </w:rPr>
        <w:t>El artículo 2.1.1.2.2.1.3 del Decreto 1073 de 2015 que señala:</w:t>
      </w:r>
    </w:p>
    <w:p w14:paraId="336DEACF" w14:textId="77777777" w:rsidR="00E2412E" w:rsidRDefault="00E2412E" w:rsidP="00E2412E">
      <w:pPr>
        <w:spacing w:after="0"/>
        <w:ind w:right="49"/>
        <w:jc w:val="both"/>
        <w:rPr>
          <w:rFonts w:ascii="Arial" w:hAnsi="Arial" w:cs="Arial"/>
          <w:bdr w:val="none" w:sz="0" w:space="0" w:color="auto" w:frame="1"/>
        </w:rPr>
      </w:pPr>
    </w:p>
    <w:p w14:paraId="48922CC2" w14:textId="68FB0D5A" w:rsidR="00E2412E" w:rsidRPr="00E2412E" w:rsidRDefault="00E2412E" w:rsidP="00E2412E">
      <w:pPr>
        <w:spacing w:after="0"/>
        <w:ind w:left="708" w:right="49"/>
        <w:jc w:val="both"/>
        <w:rPr>
          <w:rFonts w:ascii="Arial" w:hAnsi="Arial" w:cs="Arial"/>
          <w:i/>
          <w:iCs/>
          <w:bdr w:val="none" w:sz="0" w:space="0" w:color="auto" w:frame="1"/>
        </w:rPr>
      </w:pPr>
      <w:r w:rsidRPr="00E2412E">
        <w:rPr>
          <w:rFonts w:ascii="Arial" w:hAnsi="Arial" w:cs="Arial"/>
          <w:i/>
          <w:iCs/>
          <w:bdr w:val="none" w:sz="0" w:space="0" w:color="auto" w:frame="1"/>
        </w:rPr>
        <w:t>“</w:t>
      </w:r>
      <w:r w:rsidRPr="00E2412E">
        <w:rPr>
          <w:rFonts w:ascii="Arial" w:hAnsi="Arial" w:cs="Arial"/>
          <w:i/>
          <w:iCs/>
          <w:bdr w:val="none" w:sz="0" w:space="0" w:color="auto" w:frame="1"/>
        </w:rPr>
        <w:t>Corresponde al Ministerio de Minas y Energía de conformidad con las normas vigentes, la regulación, control y vigilancia de las actividades de refinación, importación, almacenamiento, distribución y transporte de los combustibles líquidos derivados del petróleo, sin perjuicio de las competencias atribuidas o delegadas a otras autoridades.</w:t>
      </w:r>
      <w:r w:rsidRPr="00E2412E">
        <w:rPr>
          <w:rFonts w:ascii="Arial" w:hAnsi="Arial" w:cs="Arial"/>
          <w:i/>
          <w:iCs/>
          <w:bdr w:val="none" w:sz="0" w:space="0" w:color="auto" w:frame="1"/>
        </w:rPr>
        <w:t>”</w:t>
      </w:r>
    </w:p>
    <w:p w14:paraId="17DF8890" w14:textId="77777777" w:rsidR="00E2412E" w:rsidRDefault="00E2412E" w:rsidP="00E2412E">
      <w:pPr>
        <w:spacing w:after="0"/>
        <w:ind w:right="49"/>
        <w:jc w:val="both"/>
        <w:rPr>
          <w:rFonts w:ascii="Arial" w:hAnsi="Arial" w:cs="Arial"/>
          <w:bdr w:val="none" w:sz="0" w:space="0" w:color="auto" w:frame="1"/>
        </w:rPr>
      </w:pPr>
    </w:p>
    <w:p w14:paraId="3831284F" w14:textId="270C8A7B" w:rsidR="00027A19" w:rsidRDefault="00E2412E" w:rsidP="00027A19">
      <w:pPr>
        <w:spacing w:after="0"/>
        <w:ind w:right="49"/>
        <w:jc w:val="both"/>
        <w:rPr>
          <w:rFonts w:ascii="Arial" w:hAnsi="Arial" w:cs="Arial"/>
          <w:bdr w:val="none" w:sz="0" w:space="0" w:color="auto" w:frame="1"/>
        </w:rPr>
      </w:pPr>
      <w:r>
        <w:rPr>
          <w:rFonts w:ascii="Arial" w:hAnsi="Arial" w:cs="Arial"/>
          <w:bdr w:val="none" w:sz="0" w:space="0" w:color="auto" w:frame="1"/>
        </w:rPr>
        <w:t>El presente proyecto de resolución deroga en su totalidad la resolución 81055 de 1999, la cual se fundamenta en el Decreto ley 1141 de 1999 de restructuración del Ministerio de Minas, posteriormente derogado por el artículo 22 del Decreto 70 de 2001</w:t>
      </w:r>
      <w:r w:rsidR="00027A19">
        <w:rPr>
          <w:rFonts w:ascii="Arial" w:hAnsi="Arial" w:cs="Arial"/>
          <w:bdr w:val="none" w:sz="0" w:space="0" w:color="auto" w:frame="1"/>
        </w:rPr>
        <w:t>, derogado por el Decreto 381 de 2012, el cual se invoca como fundamento del presente acto administrativo.</w:t>
      </w:r>
    </w:p>
    <w:p w14:paraId="7ADCE8DE" w14:textId="77777777" w:rsidR="00027A19" w:rsidRDefault="00027A19" w:rsidP="00027A19">
      <w:pPr>
        <w:spacing w:after="0"/>
        <w:ind w:right="49"/>
        <w:jc w:val="both"/>
        <w:rPr>
          <w:rFonts w:ascii="Arial" w:hAnsi="Arial" w:cs="Arial"/>
          <w:bdr w:val="none" w:sz="0" w:space="0" w:color="auto" w:frame="1"/>
        </w:rPr>
      </w:pPr>
    </w:p>
    <w:p w14:paraId="7C75BF7A" w14:textId="566BD9FC" w:rsidR="00027A19" w:rsidRDefault="00027A19" w:rsidP="00027A19">
      <w:pPr>
        <w:spacing w:after="0"/>
        <w:ind w:right="49"/>
        <w:jc w:val="both"/>
        <w:rPr>
          <w:rFonts w:ascii="Arial" w:hAnsi="Arial" w:cs="Arial"/>
          <w:bdr w:val="none" w:sz="0" w:space="0" w:color="auto" w:frame="1"/>
        </w:rPr>
      </w:pPr>
      <w:r>
        <w:rPr>
          <w:rFonts w:ascii="Arial" w:hAnsi="Arial" w:cs="Arial"/>
          <w:bdr w:val="none" w:sz="0" w:space="0" w:color="auto" w:frame="1"/>
        </w:rPr>
        <w:t>Fundamentar el acto administrativo en una norma derogada lo pone en riesgo de revisiones posteriores por la jurisdicción contenciosa administrativa.</w:t>
      </w:r>
    </w:p>
    <w:p w14:paraId="6366B257" w14:textId="77777777" w:rsidR="00027A19" w:rsidRDefault="00027A19" w:rsidP="00027A19">
      <w:pPr>
        <w:spacing w:after="0"/>
        <w:ind w:right="49"/>
        <w:jc w:val="both"/>
        <w:rPr>
          <w:rFonts w:ascii="Arial" w:hAnsi="Arial" w:cs="Arial"/>
          <w:bdr w:val="none" w:sz="0" w:space="0" w:color="auto" w:frame="1"/>
        </w:rPr>
      </w:pPr>
    </w:p>
    <w:p w14:paraId="7637B79A" w14:textId="26F3C99F" w:rsidR="00027A19" w:rsidRDefault="00027A19" w:rsidP="00027A19">
      <w:pPr>
        <w:spacing w:after="0"/>
        <w:ind w:right="49"/>
        <w:jc w:val="both"/>
        <w:rPr>
          <w:rFonts w:ascii="Arial" w:hAnsi="Arial" w:cs="Arial"/>
          <w:bdr w:val="none" w:sz="0" w:space="0" w:color="auto" w:frame="1"/>
        </w:rPr>
      </w:pPr>
      <w:r>
        <w:rPr>
          <w:rFonts w:ascii="Arial" w:hAnsi="Arial" w:cs="Arial"/>
          <w:bdr w:val="none" w:sz="0" w:space="0" w:color="auto" w:frame="1"/>
        </w:rPr>
        <w:t>Ahora bien, la resolución 447 de 2003 en su momento se registró en la parte motiva del proyecto de resolución como referente, mas no como fundamento legal.</w:t>
      </w:r>
    </w:p>
    <w:p w14:paraId="6FCA7CEF" w14:textId="77777777" w:rsidR="00027A19" w:rsidRDefault="00027A19" w:rsidP="00027A19">
      <w:pPr>
        <w:spacing w:after="0"/>
        <w:ind w:right="49"/>
        <w:jc w:val="both"/>
        <w:rPr>
          <w:rFonts w:ascii="Arial" w:hAnsi="Arial" w:cs="Arial"/>
          <w:bdr w:val="none" w:sz="0" w:space="0" w:color="auto" w:frame="1"/>
        </w:rPr>
      </w:pPr>
    </w:p>
    <w:p w14:paraId="02A7A3AC" w14:textId="3D4DFB4E" w:rsidR="00027A19" w:rsidRDefault="00027A19" w:rsidP="00027A19">
      <w:pPr>
        <w:spacing w:after="0"/>
        <w:ind w:right="49"/>
        <w:jc w:val="both"/>
        <w:rPr>
          <w:rFonts w:ascii="Arial" w:hAnsi="Arial" w:cs="Arial"/>
          <w:bdr w:val="none" w:sz="0" w:space="0" w:color="auto" w:frame="1"/>
        </w:rPr>
      </w:pPr>
      <w:r>
        <w:rPr>
          <w:rFonts w:ascii="Arial" w:hAnsi="Arial" w:cs="Arial"/>
          <w:bdr w:val="none" w:sz="0" w:space="0" w:color="auto" w:frame="1"/>
        </w:rPr>
        <w:t>Quedamos atentos a sus comentarios y orientaciones.</w:t>
      </w:r>
    </w:p>
    <w:p w14:paraId="10A6C929" w14:textId="77777777" w:rsidR="00027A19" w:rsidRDefault="00027A19" w:rsidP="00027A19">
      <w:pPr>
        <w:spacing w:after="0"/>
        <w:ind w:right="49"/>
        <w:jc w:val="both"/>
        <w:rPr>
          <w:rFonts w:ascii="Arial" w:hAnsi="Arial" w:cs="Arial"/>
          <w:bdr w:val="none" w:sz="0" w:space="0" w:color="auto" w:frame="1"/>
        </w:rPr>
      </w:pPr>
    </w:p>
    <w:p w14:paraId="6BD4BABB" w14:textId="0827113F" w:rsidR="00027A19" w:rsidRPr="00027A19" w:rsidRDefault="00027A19" w:rsidP="00027A19">
      <w:pPr>
        <w:spacing w:after="0"/>
        <w:ind w:right="49"/>
        <w:jc w:val="both"/>
        <w:rPr>
          <w:rFonts w:ascii="Arial" w:hAnsi="Arial" w:cs="Arial"/>
          <w:bdr w:val="none" w:sz="0" w:space="0" w:color="auto" w:frame="1"/>
        </w:rPr>
      </w:pPr>
      <w:r>
        <w:rPr>
          <w:rFonts w:ascii="Arial" w:hAnsi="Arial" w:cs="Arial"/>
          <w:bdr w:val="none" w:sz="0" w:space="0" w:color="auto" w:frame="1"/>
        </w:rPr>
        <w:t>Muy buen día.</w:t>
      </w:r>
    </w:p>
    <w:sectPr w:rsidR="00027A19" w:rsidRPr="00027A19" w:rsidSect="00C94FBC">
      <w:pgSz w:w="12240" w:h="15840"/>
      <w:pgMar w:top="2268"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D9"/>
    <w:rsid w:val="00027A19"/>
    <w:rsid w:val="00247B63"/>
    <w:rsid w:val="00417C36"/>
    <w:rsid w:val="006D1B06"/>
    <w:rsid w:val="006E3DD9"/>
    <w:rsid w:val="006E72BB"/>
    <w:rsid w:val="009472E7"/>
    <w:rsid w:val="00987D67"/>
    <w:rsid w:val="00C94FBC"/>
    <w:rsid w:val="00E2412E"/>
    <w:rsid w:val="00F34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6F6D"/>
  <w15:chartTrackingRefBased/>
  <w15:docId w15:val="{DE6AD99A-E1A3-424E-B5EE-6C17FC1F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DD9"/>
    <w:pPr>
      <w:spacing w:after="160" w:line="256" w:lineRule="auto"/>
    </w:pPr>
  </w:style>
  <w:style w:type="paragraph" w:styleId="Ttulo1">
    <w:name w:val="heading 1"/>
    <w:basedOn w:val="Normal"/>
    <w:next w:val="Normal"/>
    <w:link w:val="Ttulo1Car"/>
    <w:uiPriority w:val="9"/>
    <w:qFormat/>
    <w:rsid w:val="006E3D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3D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3D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3D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3D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3DD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3DD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3DD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3DD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DD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3DD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3DD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3DD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3DD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3DD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3DD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3DD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3DD9"/>
    <w:rPr>
      <w:rFonts w:eastAsiaTheme="majorEastAsia" w:cstheme="majorBidi"/>
      <w:color w:val="272727" w:themeColor="text1" w:themeTint="D8"/>
    </w:rPr>
  </w:style>
  <w:style w:type="paragraph" w:styleId="Ttulo">
    <w:name w:val="Title"/>
    <w:basedOn w:val="Normal"/>
    <w:next w:val="Normal"/>
    <w:link w:val="TtuloCar"/>
    <w:uiPriority w:val="10"/>
    <w:qFormat/>
    <w:rsid w:val="006E3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3D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3DD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3DD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3DD9"/>
    <w:pPr>
      <w:spacing w:before="160"/>
      <w:jc w:val="center"/>
    </w:pPr>
    <w:rPr>
      <w:i/>
      <w:iCs/>
      <w:color w:val="404040" w:themeColor="text1" w:themeTint="BF"/>
    </w:rPr>
  </w:style>
  <w:style w:type="character" w:customStyle="1" w:styleId="CitaCar">
    <w:name w:val="Cita Car"/>
    <w:basedOn w:val="Fuentedeprrafopredeter"/>
    <w:link w:val="Cita"/>
    <w:uiPriority w:val="29"/>
    <w:rsid w:val="006E3DD9"/>
    <w:rPr>
      <w:i/>
      <w:iCs/>
      <w:color w:val="404040" w:themeColor="text1" w:themeTint="BF"/>
    </w:rPr>
  </w:style>
  <w:style w:type="paragraph" w:styleId="Prrafodelista">
    <w:name w:val="List Paragraph"/>
    <w:basedOn w:val="Normal"/>
    <w:uiPriority w:val="34"/>
    <w:qFormat/>
    <w:rsid w:val="006E3DD9"/>
    <w:pPr>
      <w:ind w:left="720"/>
      <w:contextualSpacing/>
    </w:pPr>
  </w:style>
  <w:style w:type="character" w:styleId="nfasisintenso">
    <w:name w:val="Intense Emphasis"/>
    <w:basedOn w:val="Fuentedeprrafopredeter"/>
    <w:uiPriority w:val="21"/>
    <w:qFormat/>
    <w:rsid w:val="006E3DD9"/>
    <w:rPr>
      <w:i/>
      <w:iCs/>
      <w:color w:val="0F4761" w:themeColor="accent1" w:themeShade="BF"/>
    </w:rPr>
  </w:style>
  <w:style w:type="paragraph" w:styleId="Citadestacada">
    <w:name w:val="Intense Quote"/>
    <w:basedOn w:val="Normal"/>
    <w:next w:val="Normal"/>
    <w:link w:val="CitadestacadaCar"/>
    <w:uiPriority w:val="30"/>
    <w:qFormat/>
    <w:rsid w:val="006E3D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3DD9"/>
    <w:rPr>
      <w:i/>
      <w:iCs/>
      <w:color w:val="0F4761" w:themeColor="accent1" w:themeShade="BF"/>
    </w:rPr>
  </w:style>
  <w:style w:type="character" w:styleId="Referenciaintensa">
    <w:name w:val="Intense Reference"/>
    <w:basedOn w:val="Fuentedeprrafopredeter"/>
    <w:uiPriority w:val="32"/>
    <w:qFormat/>
    <w:rsid w:val="006E3DD9"/>
    <w:rPr>
      <w:b/>
      <w:bCs/>
      <w:smallCaps/>
      <w:color w:val="0F4761" w:themeColor="accent1" w:themeShade="BF"/>
      <w:spacing w:val="5"/>
    </w:rPr>
  </w:style>
  <w:style w:type="character" w:customStyle="1" w:styleId="normaltextrun">
    <w:name w:val="normaltextrun"/>
    <w:basedOn w:val="Fuentedeprrafopredeter"/>
    <w:rsid w:val="006E3DD9"/>
  </w:style>
  <w:style w:type="character" w:styleId="Hipervnculo">
    <w:name w:val="Hyperlink"/>
    <w:basedOn w:val="Fuentedeprrafopredeter"/>
    <w:uiPriority w:val="99"/>
    <w:unhideWhenUsed/>
    <w:rsid w:val="00247B63"/>
    <w:rPr>
      <w:color w:val="467886" w:themeColor="hyperlink"/>
      <w:u w:val="single"/>
    </w:rPr>
  </w:style>
  <w:style w:type="character" w:styleId="Mencinsinresolver">
    <w:name w:val="Unresolved Mention"/>
    <w:basedOn w:val="Fuentedeprrafopredeter"/>
    <w:uiPriority w:val="99"/>
    <w:semiHidden/>
    <w:unhideWhenUsed/>
    <w:rsid w:val="00247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4236</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GOMEZ BAEZ</dc:creator>
  <cp:keywords/>
  <dc:description/>
  <cp:lastModifiedBy>ALVARO GOMEZ BAEZ</cp:lastModifiedBy>
  <cp:revision>2</cp:revision>
  <dcterms:created xsi:type="dcterms:W3CDTF">2025-10-27T03:54:00Z</dcterms:created>
  <dcterms:modified xsi:type="dcterms:W3CDTF">2025-10-27T03:54:00Z</dcterms:modified>
</cp:coreProperties>
</file>